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E2A" w:rsidRPr="00531B80" w:rsidRDefault="00B00E2A" w:rsidP="00505C97">
      <w:pPr>
        <w:pStyle w:val="NormaleWeb"/>
        <w:jc w:val="center"/>
        <w:rPr>
          <w:b/>
          <w:sz w:val="22"/>
          <w:szCs w:val="22"/>
          <w:u w:val="single"/>
        </w:rPr>
      </w:pPr>
      <w:r w:rsidRPr="00531B80">
        <w:rPr>
          <w:b/>
          <w:sz w:val="22"/>
          <w:szCs w:val="22"/>
          <w:u w:val="single"/>
        </w:rPr>
        <w:t>C</w:t>
      </w:r>
      <w:r w:rsidR="00791810" w:rsidRPr="00531B80">
        <w:rPr>
          <w:b/>
          <w:sz w:val="22"/>
          <w:szCs w:val="22"/>
          <w:u w:val="single"/>
        </w:rPr>
        <w:t>assazione civile, sez. I</w:t>
      </w:r>
      <w:r w:rsidR="00C5575B" w:rsidRPr="00531B80">
        <w:rPr>
          <w:b/>
          <w:sz w:val="22"/>
          <w:szCs w:val="22"/>
          <w:u w:val="single"/>
        </w:rPr>
        <w:t xml:space="preserve">, </w:t>
      </w:r>
      <w:r w:rsidR="00C634D5">
        <w:rPr>
          <w:b/>
          <w:sz w:val="22"/>
          <w:szCs w:val="22"/>
          <w:u w:val="single"/>
        </w:rPr>
        <w:t>7 marzo</w:t>
      </w:r>
      <w:r w:rsidR="00C5575B" w:rsidRPr="00531B80">
        <w:rPr>
          <w:b/>
          <w:sz w:val="22"/>
          <w:szCs w:val="22"/>
          <w:u w:val="single"/>
        </w:rPr>
        <w:t xml:space="preserve"> 2005</w:t>
      </w:r>
      <w:r w:rsidRPr="00531B80">
        <w:rPr>
          <w:b/>
          <w:sz w:val="22"/>
          <w:szCs w:val="22"/>
          <w:u w:val="single"/>
        </w:rPr>
        <w:t xml:space="preserve">, n. </w:t>
      </w:r>
      <w:r w:rsidR="00C634D5">
        <w:rPr>
          <w:b/>
          <w:sz w:val="22"/>
          <w:szCs w:val="22"/>
          <w:u w:val="single"/>
        </w:rPr>
        <w:t>4924</w:t>
      </w:r>
    </w:p>
    <w:p w:rsidR="00791810" w:rsidRPr="00531B80" w:rsidRDefault="00514A08" w:rsidP="00C5575B">
      <w:pPr>
        <w:jc w:val="both"/>
        <w:rPr>
          <w:b/>
          <w:sz w:val="22"/>
          <w:szCs w:val="22"/>
        </w:rPr>
      </w:pPr>
      <w:r w:rsidRPr="009732A2">
        <w:rPr>
          <w:b/>
          <w:sz w:val="22"/>
          <w:szCs w:val="22"/>
          <w:highlight w:val="yellow"/>
        </w:rPr>
        <w:t xml:space="preserve">Sanzioni amministrative: </w:t>
      </w:r>
      <w:r w:rsidR="004266E2" w:rsidRPr="009732A2">
        <w:rPr>
          <w:b/>
          <w:sz w:val="22"/>
          <w:szCs w:val="22"/>
          <w:highlight w:val="yellow"/>
        </w:rPr>
        <w:t xml:space="preserve">in caso di trasformazione di illeciti penali in illeciti amministrativi, i fatti commessi nel vigore della precedente disciplina non restano, anche in difetto di apposite norme transitorie, sottratti a qualsiasi sanzione, ma - in considerazione della </w:t>
      </w:r>
      <w:r w:rsidR="004266E2" w:rsidRPr="009732A2">
        <w:rPr>
          <w:b/>
          <w:i/>
          <w:sz w:val="22"/>
          <w:szCs w:val="22"/>
          <w:highlight w:val="yellow"/>
        </w:rPr>
        <w:t>ratio legis</w:t>
      </w:r>
      <w:r w:rsidR="004266E2" w:rsidRPr="009732A2">
        <w:rPr>
          <w:b/>
          <w:sz w:val="22"/>
          <w:szCs w:val="22"/>
          <w:highlight w:val="yellow"/>
        </w:rPr>
        <w:t>, che è quella di attenuare, non già di eliminare, la sanzione per un fatto che rimane illecito - trova comunque applicazione quella amministrativa</w:t>
      </w:r>
    </w:p>
    <w:p w:rsidR="00257D19" w:rsidRPr="00531B80" w:rsidRDefault="00257D19" w:rsidP="00791810">
      <w:pPr>
        <w:jc w:val="center"/>
        <w:rPr>
          <w:b/>
          <w:sz w:val="22"/>
          <w:szCs w:val="22"/>
        </w:rPr>
      </w:pPr>
    </w:p>
    <w:p w:rsidR="00257D19" w:rsidRPr="00531B80" w:rsidRDefault="00257D19" w:rsidP="00791810">
      <w:pPr>
        <w:jc w:val="center"/>
        <w:rPr>
          <w:b/>
          <w:sz w:val="22"/>
          <w:szCs w:val="22"/>
        </w:rPr>
      </w:pPr>
    </w:p>
    <w:p w:rsidR="00C634D5" w:rsidRDefault="00C634D5" w:rsidP="00531B80">
      <w:pPr>
        <w:jc w:val="center"/>
        <w:rPr>
          <w:b/>
          <w:bCs/>
          <w:sz w:val="22"/>
          <w:szCs w:val="22"/>
        </w:rPr>
      </w:pPr>
    </w:p>
    <w:p w:rsidR="00531B80" w:rsidRPr="00531B80" w:rsidRDefault="00531B80" w:rsidP="00531B80">
      <w:pPr>
        <w:jc w:val="center"/>
        <w:rPr>
          <w:sz w:val="22"/>
          <w:szCs w:val="22"/>
        </w:rPr>
      </w:pPr>
    </w:p>
    <w:p w:rsidR="00531B80" w:rsidRPr="00531B80" w:rsidRDefault="00531B80" w:rsidP="00531B80">
      <w:pPr>
        <w:jc w:val="center"/>
        <w:rPr>
          <w:sz w:val="22"/>
          <w:szCs w:val="22"/>
        </w:rPr>
      </w:pPr>
    </w:p>
    <w:p w:rsidR="00531B80" w:rsidRPr="00531B80" w:rsidRDefault="00531B80" w:rsidP="00531B80">
      <w:pPr>
        <w:jc w:val="center"/>
        <w:rPr>
          <w:sz w:val="22"/>
          <w:szCs w:val="22"/>
        </w:rPr>
      </w:pPr>
      <w:r w:rsidRPr="00531B80">
        <w:rPr>
          <w:sz w:val="22"/>
          <w:szCs w:val="22"/>
        </w:rPr>
        <w:t>SVOLGIMENTO DEL PROCESSO</w:t>
      </w:r>
    </w:p>
    <w:p w:rsidR="00531B80" w:rsidRPr="00531B80" w:rsidRDefault="00531B80" w:rsidP="00531B80">
      <w:pPr>
        <w:jc w:val="center"/>
        <w:rPr>
          <w:sz w:val="22"/>
          <w:szCs w:val="22"/>
        </w:rPr>
      </w:pPr>
    </w:p>
    <w:p w:rsidR="003E0205" w:rsidRDefault="00531B80" w:rsidP="003E0205">
      <w:pPr>
        <w:numPr>
          <w:ilvl w:val="0"/>
          <w:numId w:val="2"/>
        </w:numPr>
        <w:tabs>
          <w:tab w:val="clear" w:pos="720"/>
          <w:tab w:val="num" w:pos="540"/>
        </w:tabs>
        <w:ind w:left="540" w:hanging="540"/>
        <w:rPr>
          <w:sz w:val="22"/>
          <w:szCs w:val="22"/>
        </w:rPr>
      </w:pPr>
      <w:r w:rsidRPr="00531B80">
        <w:rPr>
          <w:sz w:val="22"/>
          <w:szCs w:val="22"/>
        </w:rPr>
        <w:t>Dalla sentenza impugnata risulta quanto segue.</w:t>
      </w:r>
    </w:p>
    <w:p w:rsidR="00531B80" w:rsidRPr="00531B80" w:rsidRDefault="00531B80" w:rsidP="003E0205">
      <w:pPr>
        <w:tabs>
          <w:tab w:val="num" w:pos="0"/>
        </w:tabs>
        <w:rPr>
          <w:sz w:val="22"/>
          <w:szCs w:val="22"/>
        </w:rPr>
      </w:pPr>
      <w:r w:rsidRPr="00531B80">
        <w:rPr>
          <w:sz w:val="22"/>
          <w:szCs w:val="22"/>
        </w:rPr>
        <w:br/>
        <w:t xml:space="preserve">G.C. proponeva opposizione, ai sensi della l. 24 novembre 1981, n. 689, all'ordinanza ingiunzione con cui gli era stata inflitta sanzione amministrativa pecuniaria, per violazione dell'art. </w:t>
      </w:r>
      <w:smartTag w:uri="urn:schemas-microsoft-com:office:smarttags" w:element="metricconverter">
        <w:smartTagPr>
          <w:attr w:name="ProductID" w:val="21 l"/>
        </w:smartTagPr>
        <w:r w:rsidRPr="00531B80">
          <w:rPr>
            <w:sz w:val="22"/>
            <w:szCs w:val="22"/>
          </w:rPr>
          <w:t>21 l</w:t>
        </w:r>
      </w:smartTag>
      <w:r w:rsidRPr="00531B80">
        <w:rPr>
          <w:sz w:val="22"/>
          <w:szCs w:val="22"/>
        </w:rPr>
        <w:t xml:space="preserve">. 10 maggio 1976, n. </w:t>
      </w:r>
      <w:smartTag w:uri="urn:schemas-microsoft-com:office:smarttags" w:element="metricconverter">
        <w:smartTagPr>
          <w:attr w:name="ProductID" w:val="319, in"/>
        </w:smartTagPr>
        <w:r w:rsidRPr="00531B80">
          <w:rPr>
            <w:sz w:val="22"/>
            <w:szCs w:val="22"/>
          </w:rPr>
          <w:t>319, in</w:t>
        </w:r>
      </w:smartTag>
      <w:r w:rsidRPr="00531B80">
        <w:rPr>
          <w:sz w:val="22"/>
          <w:szCs w:val="22"/>
        </w:rPr>
        <w:t xml:space="preserve"> relazione alla mancanza di autorizzazione dello scarico di fognatura del Comune di Ripalimosani, di cui l'opponente era sindaco. Deduceva che la l. 17 maggio 1995, n. 172 (di conversione del d.l. 17 marzo 1995, n. 79), modificativa della l. 319/1976, aveva soppresso la necessità dell'autorizzazione per gli scarichi di pubbliche fognature appartenenti al medesimo ente competente al rilascio dell'autorizzazione stessa.</w:t>
      </w:r>
      <w:r w:rsidRPr="00531B80">
        <w:rPr>
          <w:sz w:val="22"/>
          <w:szCs w:val="22"/>
        </w:rPr>
        <w:br/>
      </w:r>
      <w:r w:rsidRPr="00531B80">
        <w:rPr>
          <w:sz w:val="22"/>
          <w:szCs w:val="22"/>
        </w:rPr>
        <w:br/>
        <w:t>Nella contumacia dell'opposta AUSL n. 3 Centro Molise, l'adìto Tribunale di Campobasso, con sentenza del 26 marzo 2001, rigettava l'opposizione, considerando che le nuove disposizioni non eliminavano, per il caso dedotto dall'opponente, la necessità dell'autorizzazione, bensì disciplinavano diversamente le modalità di rilascio della stessa stabilendo che essa era compresa nell'approvazione dell'impianto, e nella specie tale approvazione mancava.</w:t>
      </w:r>
      <w:r w:rsidRPr="00531B80">
        <w:rPr>
          <w:sz w:val="22"/>
          <w:szCs w:val="22"/>
        </w:rPr>
        <w:br/>
      </w:r>
      <w:r w:rsidRPr="00531B80">
        <w:rPr>
          <w:sz w:val="22"/>
          <w:szCs w:val="22"/>
        </w:rPr>
        <w:br/>
        <w:t>2. Ricorre per cassazione il C. articolando un solo motivo. L'intimata AUSL n. 3 di Campobasso non svolge difese.</w:t>
      </w:r>
    </w:p>
    <w:p w:rsidR="00531B80" w:rsidRPr="00531B80" w:rsidRDefault="00531B80" w:rsidP="003E0205">
      <w:pPr>
        <w:tabs>
          <w:tab w:val="num" w:pos="540"/>
        </w:tabs>
        <w:ind w:left="540" w:hanging="540"/>
        <w:jc w:val="center"/>
        <w:rPr>
          <w:sz w:val="22"/>
          <w:szCs w:val="22"/>
        </w:rPr>
      </w:pPr>
    </w:p>
    <w:p w:rsidR="00531B80" w:rsidRPr="00531B80" w:rsidRDefault="00531B80" w:rsidP="00531B80">
      <w:pPr>
        <w:jc w:val="center"/>
        <w:rPr>
          <w:sz w:val="22"/>
          <w:szCs w:val="22"/>
        </w:rPr>
      </w:pPr>
      <w:r w:rsidRPr="00531B80">
        <w:rPr>
          <w:sz w:val="22"/>
          <w:szCs w:val="22"/>
        </w:rPr>
        <w:t>MOTIVI DELLA DECISIONE</w:t>
      </w:r>
    </w:p>
    <w:p w:rsidR="00531B80" w:rsidRPr="00531B80" w:rsidRDefault="00531B80" w:rsidP="00531B80">
      <w:pPr>
        <w:jc w:val="center"/>
        <w:rPr>
          <w:sz w:val="22"/>
          <w:szCs w:val="22"/>
        </w:rPr>
      </w:pPr>
    </w:p>
    <w:p w:rsidR="003E0205" w:rsidRDefault="00531B80" w:rsidP="003E0205">
      <w:pPr>
        <w:rPr>
          <w:sz w:val="22"/>
          <w:szCs w:val="22"/>
        </w:rPr>
      </w:pPr>
      <w:r w:rsidRPr="00531B80">
        <w:rPr>
          <w:sz w:val="22"/>
          <w:szCs w:val="22"/>
        </w:rPr>
        <w:t xml:space="preserve">3. Il ricorrente denuncia omessa motivazione e violazione dell'art. </w:t>
      </w:r>
      <w:smartTag w:uri="urn:schemas-microsoft-com:office:smarttags" w:element="metricconverter">
        <w:smartTagPr>
          <w:attr w:name="ProductID" w:val="1 l"/>
        </w:smartTagPr>
        <w:r w:rsidRPr="00531B80">
          <w:rPr>
            <w:sz w:val="22"/>
            <w:szCs w:val="22"/>
          </w:rPr>
          <w:t>1 l</w:t>
        </w:r>
      </w:smartTag>
      <w:r w:rsidRPr="00531B80">
        <w:rPr>
          <w:sz w:val="22"/>
          <w:szCs w:val="22"/>
        </w:rPr>
        <w:t>. n. 689/1981. Lamenta che il Tribunale: non abbia motivato sulla dedotta inapplicabilità della sanzione amministrativa agli illeciti depenalizzati dalla l. 172/1995 e commessi - come nella specie, risalendo l'accertamento al 1994 - prima della entrata in vigore di tale legge; abbia, inoltre, violato il principio di legalità stabilito dall'art. 1 cit. (per il quale nessuno può essere sottoposto a sanzione amministrativa se non in forza di legge entrata in vigore prima del fatto), mancando nella richiamata legge di depenalizzazione una disciplina transitoria che deroghi a tale principio.</w:t>
      </w:r>
      <w:r w:rsidRPr="00531B80">
        <w:rPr>
          <w:sz w:val="22"/>
          <w:szCs w:val="22"/>
        </w:rPr>
        <w:br/>
      </w:r>
      <w:r w:rsidRPr="00531B80">
        <w:rPr>
          <w:sz w:val="22"/>
          <w:szCs w:val="22"/>
        </w:rPr>
        <w:br/>
        <w:t>4. La doglianza è infondata.</w:t>
      </w:r>
    </w:p>
    <w:p w:rsidR="00531B80" w:rsidRPr="00531B80" w:rsidRDefault="00531B80" w:rsidP="003E0205">
      <w:pPr>
        <w:rPr>
          <w:sz w:val="22"/>
          <w:szCs w:val="22"/>
        </w:rPr>
      </w:pPr>
      <w:r w:rsidRPr="00531B80">
        <w:rPr>
          <w:sz w:val="22"/>
          <w:szCs w:val="22"/>
        </w:rPr>
        <w:t xml:space="preserve">La sentenza, pur non soffermandosi sulla questione dell'applicabilità, </w:t>
      </w:r>
      <w:r w:rsidRPr="00C634D5">
        <w:rPr>
          <w:i/>
          <w:sz w:val="22"/>
          <w:szCs w:val="22"/>
        </w:rPr>
        <w:t>ratione temporis</w:t>
      </w:r>
      <w:r w:rsidRPr="00531B80">
        <w:rPr>
          <w:sz w:val="22"/>
          <w:szCs w:val="22"/>
        </w:rPr>
        <w:t>, della sanzione amministrativa alla fattispecie concreta, la risolve implicitamente in senso affermativo. E tale soluzione è corretta.</w:t>
      </w:r>
      <w:r w:rsidRPr="00531B80">
        <w:rPr>
          <w:sz w:val="22"/>
          <w:szCs w:val="22"/>
        </w:rPr>
        <w:br/>
      </w:r>
      <w:r w:rsidRPr="00531B80">
        <w:rPr>
          <w:sz w:val="22"/>
          <w:szCs w:val="22"/>
        </w:rPr>
        <w:br/>
        <w:t xml:space="preserve">È vero che la tesi sostenuta dal ricorrente ha trovato riscontro nella giurisprudenza penale di questa Corte (anche a sezioni unite: sent. 7394/1994, citata nel ricorso assieme alla sent. 2724/1996 della III Sezione penale); questo collegio ritiene, tuttavia, di aderire all'opposto orientamento espresso dalle sezioni civili, secondo cui, in caso di trasformazione di illeciti penali in illeciti amministrativi, i fatti commessi nel vigore della precedente disciplina non restano, anche in difetto di apposite norme transitorie, sottratti a qualsiasi </w:t>
      </w:r>
      <w:r w:rsidRPr="00531B80">
        <w:rPr>
          <w:sz w:val="22"/>
          <w:szCs w:val="22"/>
        </w:rPr>
        <w:lastRenderedPageBreak/>
        <w:t>sanzione, ma - in considerazione della ratio legis, che è quella di attenuare, non già di eliminare, la sanzione per un fatto che rimane illecito - trova comunque applicazione quella amministrativa. Infatti, per un verso, il principio dell'applicazione della norma sopravvenuta più favorevole al reo (art. 2, comma 3, c.p.) si riferisce anche al caso di trasformazione dell'illecito penale in illecito amministrativo; per altro verso, l'art. 40 della l. 689/1981 ("Le disposizioni del capo I si applicano anche alle violazioni commesse anteriormente all'entrata in vigore della presente legge che le ha depenalizzate, quando il relativo procedimento penale non sia stato definito") esprime un principio di carattere generale, non limitato alle violazioni contemplate nella legge stessa, ma applicabile a tutti i provvedimenti di depenalizzazione, anche successivi, in difetto di apposita disciplina transitoria (v., in particolare, Cass. Sez. I civ. 4409/1995 e Sez. Lav. 92/1996; nello stesso senso Sez. Lav. 1212/1997).</w:t>
      </w:r>
      <w:r w:rsidRPr="00531B80">
        <w:rPr>
          <w:sz w:val="22"/>
          <w:szCs w:val="22"/>
        </w:rPr>
        <w:br/>
      </w:r>
      <w:r w:rsidRPr="00531B80">
        <w:rPr>
          <w:sz w:val="22"/>
          <w:szCs w:val="22"/>
        </w:rPr>
        <w:br/>
        <w:t>5. Il ricorso va pertanto rigettato. Non vi è luogo a provvedere sulle spese processuali, non avendo l'intimata svolto difese.</w:t>
      </w:r>
    </w:p>
    <w:p w:rsidR="00531B80" w:rsidRPr="00531B80" w:rsidRDefault="00531B80" w:rsidP="00531B80">
      <w:pPr>
        <w:jc w:val="center"/>
        <w:rPr>
          <w:sz w:val="22"/>
          <w:szCs w:val="22"/>
        </w:rPr>
      </w:pPr>
      <w:r w:rsidRPr="00531B80">
        <w:rPr>
          <w:sz w:val="22"/>
          <w:szCs w:val="22"/>
        </w:rPr>
        <w:t> </w:t>
      </w:r>
    </w:p>
    <w:p w:rsidR="00531B80" w:rsidRPr="00531B80" w:rsidRDefault="00531B80" w:rsidP="00531B80">
      <w:pPr>
        <w:jc w:val="center"/>
        <w:rPr>
          <w:sz w:val="22"/>
          <w:szCs w:val="22"/>
        </w:rPr>
      </w:pPr>
      <w:r w:rsidRPr="00531B80">
        <w:rPr>
          <w:sz w:val="22"/>
          <w:szCs w:val="22"/>
        </w:rPr>
        <w:t>P.Q.M.</w:t>
      </w:r>
    </w:p>
    <w:p w:rsidR="00531B80" w:rsidRPr="00531B80" w:rsidRDefault="00531B80" w:rsidP="00531B80">
      <w:pPr>
        <w:jc w:val="center"/>
        <w:rPr>
          <w:sz w:val="22"/>
          <w:szCs w:val="22"/>
        </w:rPr>
      </w:pPr>
      <w:r w:rsidRPr="00531B80">
        <w:rPr>
          <w:sz w:val="22"/>
          <w:szCs w:val="22"/>
        </w:rPr>
        <w:t> </w:t>
      </w:r>
    </w:p>
    <w:p w:rsidR="00531B80" w:rsidRPr="00531B80" w:rsidRDefault="00531B80" w:rsidP="00531B80">
      <w:pPr>
        <w:jc w:val="center"/>
        <w:rPr>
          <w:sz w:val="22"/>
          <w:szCs w:val="22"/>
        </w:rPr>
      </w:pPr>
      <w:smartTag w:uri="urn:schemas-microsoft-com:office:smarttags" w:element="PersonName">
        <w:smartTagPr>
          <w:attr w:name="ProductID" w:val="La Corte"/>
        </w:smartTagPr>
        <w:r w:rsidRPr="00531B80">
          <w:rPr>
            <w:sz w:val="22"/>
            <w:szCs w:val="22"/>
          </w:rPr>
          <w:t>La Corte</w:t>
        </w:r>
      </w:smartTag>
      <w:r w:rsidRPr="00531B80">
        <w:rPr>
          <w:sz w:val="22"/>
          <w:szCs w:val="22"/>
        </w:rPr>
        <w:t xml:space="preserve"> rigetta il ricorso.</w:t>
      </w:r>
    </w:p>
    <w:p w:rsidR="00ED7FBE" w:rsidRPr="00531B80" w:rsidRDefault="00ED7FBE" w:rsidP="00531B80">
      <w:pPr>
        <w:jc w:val="center"/>
        <w:rPr>
          <w:sz w:val="22"/>
          <w:szCs w:val="22"/>
        </w:rPr>
      </w:pPr>
    </w:p>
    <w:sectPr w:rsidR="00ED7FBE" w:rsidRPr="00531B80" w:rsidSect="00ED7FBE">
      <w:headerReference w:type="default" r:id="rId7"/>
      <w:footerReference w:type="default" r:id="rId8"/>
      <w:pgSz w:w="11906" w:h="16838"/>
      <w:pgMar w:top="1417" w:right="1134" w:bottom="1134" w:left="1134" w:header="708" w:footer="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25BA" w:rsidRDefault="005E25BA">
      <w:r>
        <w:separator/>
      </w:r>
    </w:p>
  </w:endnote>
  <w:endnote w:type="continuationSeparator" w:id="1">
    <w:p w:rsidR="005E25BA" w:rsidRDefault="005E25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6E2" w:rsidRPr="006C6ABC" w:rsidRDefault="004266E2" w:rsidP="00ED7FBE">
    <w:pPr>
      <w:jc w:val="center"/>
      <w:rPr>
        <w:rFonts w:ascii="Arial" w:hAnsi="Arial" w:cs="Arial"/>
        <w:sz w:val="20"/>
        <w:szCs w:val="16"/>
      </w:rPr>
    </w:pPr>
    <w:r>
      <w:rPr>
        <w:rFonts w:ascii="Arial" w:hAnsi="Arial"/>
        <w:b/>
      </w:rPr>
      <w:t xml:space="preserve">© </w:t>
    </w:r>
    <w:r w:rsidRPr="006C6ABC">
      <w:rPr>
        <w:rFonts w:ascii="Arial" w:hAnsi="Arial" w:cs="Arial"/>
        <w:sz w:val="20"/>
        <w:szCs w:val="16"/>
      </w:rPr>
      <w:t>Copyright riservato www.dirittoambiente.com -   Riproduzione vietata</w:t>
    </w:r>
  </w:p>
  <w:p w:rsidR="004266E2" w:rsidRPr="006C6ABC" w:rsidRDefault="004266E2" w:rsidP="00ED7FBE">
    <w:pPr>
      <w:jc w:val="center"/>
      <w:rPr>
        <w:sz w:val="20"/>
        <w:szCs w:val="16"/>
      </w:rPr>
    </w:pPr>
    <w:r w:rsidRPr="006C6ABC">
      <w:rPr>
        <w:rFonts w:ascii="Arial" w:hAnsi="Arial" w:cs="Arial"/>
        <w:sz w:val="20"/>
        <w:szCs w:val="16"/>
      </w:rPr>
      <w:t>La pirateria editoriale è reato ai sensi della legge 18-08-2000 n°248</w:t>
    </w:r>
  </w:p>
  <w:p w:rsidR="004266E2" w:rsidRDefault="004266E2" w:rsidP="00ED7FBE">
    <w:pPr>
      <w:pStyle w:val="Pidipagina"/>
      <w:jc w:val="center"/>
    </w:pPr>
  </w:p>
  <w:p w:rsidR="004266E2" w:rsidRDefault="004266E2" w:rsidP="00ED7FBE"/>
  <w:p w:rsidR="004266E2" w:rsidRDefault="004266E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25BA" w:rsidRDefault="005E25BA">
      <w:r>
        <w:separator/>
      </w:r>
    </w:p>
  </w:footnote>
  <w:footnote w:type="continuationSeparator" w:id="1">
    <w:p w:rsidR="005E25BA" w:rsidRDefault="005E25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6E2" w:rsidRDefault="00466BFE">
    <w:pPr>
      <w:pStyle w:val="Intestazione"/>
    </w:pPr>
    <w:r>
      <w:rPr>
        <w:noProof/>
      </w:rPr>
      <w:drawing>
        <wp:inline distT="0" distB="0" distL="0" distR="0">
          <wp:extent cx="2171700" cy="676275"/>
          <wp:effectExtent l="19050" t="0" r="0" b="0"/>
          <wp:docPr id="1" name="Immagine 1" descr="logo diri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diritto"/>
                  <pic:cNvPicPr>
                    <a:picLocks noChangeAspect="1" noChangeArrowheads="1"/>
                  </pic:cNvPicPr>
                </pic:nvPicPr>
                <pic:blipFill>
                  <a:blip r:embed="rId1"/>
                  <a:srcRect/>
                  <a:stretch>
                    <a:fillRect/>
                  </a:stretch>
                </pic:blipFill>
                <pic:spPr bwMode="auto">
                  <a:xfrm>
                    <a:off x="0" y="0"/>
                    <a:ext cx="2171700" cy="676275"/>
                  </a:xfrm>
                  <a:prstGeom prst="rect">
                    <a:avLst/>
                  </a:prstGeom>
                  <a:noFill/>
                  <a:ln w="9525">
                    <a:noFill/>
                    <a:miter lim="800000"/>
                    <a:headEnd/>
                    <a:tailEnd/>
                  </a:ln>
                </pic:spPr>
              </pic:pic>
            </a:graphicData>
          </a:graphic>
        </wp:inline>
      </w:drawing>
    </w:r>
  </w:p>
  <w:p w:rsidR="004266E2" w:rsidRDefault="004266E2">
    <w:pPr>
      <w:pStyle w:val="Intestazione"/>
    </w:pPr>
  </w:p>
  <w:p w:rsidR="004266E2" w:rsidRDefault="004266E2">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D731F4"/>
    <w:multiLevelType w:val="hybridMultilevel"/>
    <w:tmpl w:val="9DA2CE42"/>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5C3347FB"/>
    <w:multiLevelType w:val="hybridMultilevel"/>
    <w:tmpl w:val="AFAC0070"/>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283"/>
  <w:noPunctuationKerning/>
  <w:characterSpacingControl w:val="doNotCompress"/>
  <w:hdrShapeDefaults>
    <o:shapedefaults v:ext="edit" spidmax="6146"/>
  </w:hdrShapeDefaults>
  <w:footnotePr>
    <w:footnote w:id="0"/>
    <w:footnote w:id="1"/>
  </w:footnotePr>
  <w:endnotePr>
    <w:endnote w:id="0"/>
    <w:endnote w:id="1"/>
  </w:endnotePr>
  <w:compat/>
  <w:rsids>
    <w:rsidRoot w:val="001B2477"/>
    <w:rsid w:val="000757C1"/>
    <w:rsid w:val="000A722D"/>
    <w:rsid w:val="000E2AD4"/>
    <w:rsid w:val="000E5720"/>
    <w:rsid w:val="00134879"/>
    <w:rsid w:val="00163B05"/>
    <w:rsid w:val="00170838"/>
    <w:rsid w:val="001B2477"/>
    <w:rsid w:val="00257D19"/>
    <w:rsid w:val="00283A0E"/>
    <w:rsid w:val="002920E9"/>
    <w:rsid w:val="003E0205"/>
    <w:rsid w:val="003F58EC"/>
    <w:rsid w:val="004266E2"/>
    <w:rsid w:val="004450ED"/>
    <w:rsid w:val="00466BFE"/>
    <w:rsid w:val="00505C97"/>
    <w:rsid w:val="00514A08"/>
    <w:rsid w:val="00531B80"/>
    <w:rsid w:val="005A5F01"/>
    <w:rsid w:val="005E25BA"/>
    <w:rsid w:val="0068073D"/>
    <w:rsid w:val="006A303E"/>
    <w:rsid w:val="007706C1"/>
    <w:rsid w:val="00791810"/>
    <w:rsid w:val="00810951"/>
    <w:rsid w:val="008B32DA"/>
    <w:rsid w:val="009732A2"/>
    <w:rsid w:val="00981705"/>
    <w:rsid w:val="00A2321B"/>
    <w:rsid w:val="00A56E7A"/>
    <w:rsid w:val="00A636BF"/>
    <w:rsid w:val="00A72D86"/>
    <w:rsid w:val="00B00E2A"/>
    <w:rsid w:val="00B63D3D"/>
    <w:rsid w:val="00C0049F"/>
    <w:rsid w:val="00C5575B"/>
    <w:rsid w:val="00C634D5"/>
    <w:rsid w:val="00C84D08"/>
    <w:rsid w:val="00CB3E1C"/>
    <w:rsid w:val="00D06088"/>
    <w:rsid w:val="00DC425C"/>
    <w:rsid w:val="00E1306F"/>
    <w:rsid w:val="00E56949"/>
    <w:rsid w:val="00EC6A0B"/>
    <w:rsid w:val="00ED7FB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00E2A"/>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1B2477"/>
    <w:pPr>
      <w:tabs>
        <w:tab w:val="center" w:pos="4819"/>
        <w:tab w:val="right" w:pos="9638"/>
      </w:tabs>
    </w:pPr>
  </w:style>
  <w:style w:type="paragraph" w:styleId="Pidipagina">
    <w:name w:val="footer"/>
    <w:basedOn w:val="Normale"/>
    <w:rsid w:val="001B2477"/>
    <w:pPr>
      <w:tabs>
        <w:tab w:val="center" w:pos="4819"/>
        <w:tab w:val="right" w:pos="9638"/>
      </w:tabs>
    </w:pPr>
  </w:style>
  <w:style w:type="character" w:styleId="Collegamentoipertestuale">
    <w:name w:val="Hyperlink"/>
    <w:basedOn w:val="Carpredefinitoparagrafo"/>
    <w:rsid w:val="00C84D08"/>
    <w:rPr>
      <w:color w:val="0000FF"/>
      <w:u w:val="single"/>
    </w:rPr>
  </w:style>
  <w:style w:type="character" w:styleId="Enfasicorsivo">
    <w:name w:val="Emphasis"/>
    <w:basedOn w:val="Carpredefinitoparagrafo"/>
    <w:qFormat/>
    <w:rsid w:val="00C84D08"/>
    <w:rPr>
      <w:i/>
      <w:iCs/>
    </w:rPr>
  </w:style>
  <w:style w:type="paragraph" w:styleId="NormaleWeb">
    <w:name w:val="Normal (Web)"/>
    <w:basedOn w:val="Normale"/>
    <w:rsid w:val="00B00E2A"/>
    <w:pPr>
      <w:spacing w:before="100" w:beforeAutospacing="1" w:after="100" w:afterAutospacing="1"/>
    </w:pPr>
  </w:style>
  <w:style w:type="character" w:customStyle="1" w:styleId="unnamed21">
    <w:name w:val="unnamed21"/>
    <w:basedOn w:val="Carpredefinitoparagrafo"/>
    <w:rsid w:val="00B00E2A"/>
  </w:style>
  <w:style w:type="paragraph" w:customStyle="1" w:styleId="titolo-2">
    <w:name w:val="titolo-2"/>
    <w:basedOn w:val="Normale"/>
    <w:rsid w:val="00791810"/>
    <w:pPr>
      <w:jc w:val="center"/>
    </w:pPr>
    <w:rPr>
      <w:rFonts w:ascii="Verdana" w:hAnsi="Verdana"/>
      <w:b/>
      <w:bCs/>
      <w:sz w:val="18"/>
      <w:szCs w:val="18"/>
    </w:rPr>
  </w:style>
  <w:style w:type="paragraph" w:styleId="Testofumetto">
    <w:name w:val="Balloon Text"/>
    <w:basedOn w:val="Normale"/>
    <w:link w:val="TestofumettoCarattere"/>
    <w:uiPriority w:val="99"/>
    <w:semiHidden/>
    <w:unhideWhenUsed/>
    <w:rsid w:val="009732A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732A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38899459">
      <w:bodyDiv w:val="1"/>
      <w:marLeft w:val="0"/>
      <w:marRight w:val="0"/>
      <w:marTop w:val="0"/>
      <w:marBottom w:val="0"/>
      <w:divBdr>
        <w:top w:val="none" w:sz="0" w:space="0" w:color="auto"/>
        <w:left w:val="none" w:sz="0" w:space="0" w:color="auto"/>
        <w:bottom w:val="none" w:sz="0" w:space="0" w:color="auto"/>
        <w:right w:val="none" w:sz="0" w:space="0" w:color="auto"/>
      </w:divBdr>
      <w:divsChild>
        <w:div w:id="292369336">
          <w:marLeft w:val="0"/>
          <w:marRight w:val="0"/>
          <w:marTop w:val="0"/>
          <w:marBottom w:val="0"/>
          <w:divBdr>
            <w:top w:val="none" w:sz="0" w:space="0" w:color="auto"/>
            <w:left w:val="none" w:sz="0" w:space="0" w:color="auto"/>
            <w:bottom w:val="none" w:sz="0" w:space="0" w:color="auto"/>
            <w:right w:val="none" w:sz="0" w:space="0" w:color="auto"/>
          </w:divBdr>
        </w:div>
        <w:div w:id="406151944">
          <w:marLeft w:val="0"/>
          <w:marRight w:val="0"/>
          <w:marTop w:val="0"/>
          <w:marBottom w:val="0"/>
          <w:divBdr>
            <w:top w:val="none" w:sz="0" w:space="0" w:color="auto"/>
            <w:left w:val="none" w:sz="0" w:space="0" w:color="auto"/>
            <w:bottom w:val="none" w:sz="0" w:space="0" w:color="auto"/>
            <w:right w:val="none" w:sz="0" w:space="0" w:color="auto"/>
          </w:divBdr>
        </w:div>
        <w:div w:id="482548203">
          <w:marLeft w:val="0"/>
          <w:marRight w:val="0"/>
          <w:marTop w:val="0"/>
          <w:marBottom w:val="0"/>
          <w:divBdr>
            <w:top w:val="none" w:sz="0" w:space="0" w:color="auto"/>
            <w:left w:val="none" w:sz="0" w:space="0" w:color="auto"/>
            <w:bottom w:val="none" w:sz="0" w:space="0" w:color="auto"/>
            <w:right w:val="none" w:sz="0" w:space="0" w:color="auto"/>
          </w:divBdr>
        </w:div>
        <w:div w:id="503521799">
          <w:marLeft w:val="0"/>
          <w:marRight w:val="0"/>
          <w:marTop w:val="0"/>
          <w:marBottom w:val="0"/>
          <w:divBdr>
            <w:top w:val="none" w:sz="0" w:space="0" w:color="auto"/>
            <w:left w:val="none" w:sz="0" w:space="0" w:color="auto"/>
            <w:bottom w:val="none" w:sz="0" w:space="0" w:color="auto"/>
            <w:right w:val="none" w:sz="0" w:space="0" w:color="auto"/>
          </w:divBdr>
        </w:div>
        <w:div w:id="545218851">
          <w:marLeft w:val="0"/>
          <w:marRight w:val="0"/>
          <w:marTop w:val="0"/>
          <w:marBottom w:val="0"/>
          <w:divBdr>
            <w:top w:val="none" w:sz="0" w:space="0" w:color="auto"/>
            <w:left w:val="none" w:sz="0" w:space="0" w:color="auto"/>
            <w:bottom w:val="none" w:sz="0" w:space="0" w:color="auto"/>
            <w:right w:val="none" w:sz="0" w:space="0" w:color="auto"/>
          </w:divBdr>
        </w:div>
        <w:div w:id="616569912">
          <w:marLeft w:val="0"/>
          <w:marRight w:val="0"/>
          <w:marTop w:val="0"/>
          <w:marBottom w:val="0"/>
          <w:divBdr>
            <w:top w:val="none" w:sz="0" w:space="0" w:color="auto"/>
            <w:left w:val="none" w:sz="0" w:space="0" w:color="auto"/>
            <w:bottom w:val="none" w:sz="0" w:space="0" w:color="auto"/>
            <w:right w:val="none" w:sz="0" w:space="0" w:color="auto"/>
          </w:divBdr>
        </w:div>
        <w:div w:id="755903049">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49892096">
              <w:marLeft w:val="0"/>
              <w:marRight w:val="0"/>
              <w:marTop w:val="0"/>
              <w:marBottom w:val="0"/>
              <w:divBdr>
                <w:top w:val="none" w:sz="0" w:space="0" w:color="auto"/>
                <w:left w:val="none" w:sz="0" w:space="0" w:color="auto"/>
                <w:bottom w:val="none" w:sz="0" w:space="0" w:color="auto"/>
                <w:right w:val="none" w:sz="0" w:space="0" w:color="auto"/>
              </w:divBdr>
            </w:div>
            <w:div w:id="149562522">
              <w:marLeft w:val="0"/>
              <w:marRight w:val="0"/>
              <w:marTop w:val="0"/>
              <w:marBottom w:val="0"/>
              <w:divBdr>
                <w:top w:val="none" w:sz="0" w:space="0" w:color="auto"/>
                <w:left w:val="none" w:sz="0" w:space="0" w:color="auto"/>
                <w:bottom w:val="none" w:sz="0" w:space="0" w:color="auto"/>
                <w:right w:val="none" w:sz="0" w:space="0" w:color="auto"/>
              </w:divBdr>
            </w:div>
            <w:div w:id="473180329">
              <w:marLeft w:val="0"/>
              <w:marRight w:val="0"/>
              <w:marTop w:val="0"/>
              <w:marBottom w:val="0"/>
              <w:divBdr>
                <w:top w:val="none" w:sz="0" w:space="0" w:color="auto"/>
                <w:left w:val="none" w:sz="0" w:space="0" w:color="auto"/>
                <w:bottom w:val="none" w:sz="0" w:space="0" w:color="auto"/>
                <w:right w:val="none" w:sz="0" w:space="0" w:color="auto"/>
              </w:divBdr>
            </w:div>
            <w:div w:id="1532719511">
              <w:marLeft w:val="0"/>
              <w:marRight w:val="0"/>
              <w:marTop w:val="0"/>
              <w:marBottom w:val="0"/>
              <w:divBdr>
                <w:top w:val="none" w:sz="0" w:space="0" w:color="auto"/>
                <w:left w:val="none" w:sz="0" w:space="0" w:color="auto"/>
                <w:bottom w:val="none" w:sz="0" w:space="0" w:color="auto"/>
                <w:right w:val="none" w:sz="0" w:space="0" w:color="auto"/>
              </w:divBdr>
            </w:div>
            <w:div w:id="1579636052">
              <w:marLeft w:val="0"/>
              <w:marRight w:val="0"/>
              <w:marTop w:val="0"/>
              <w:marBottom w:val="0"/>
              <w:divBdr>
                <w:top w:val="none" w:sz="0" w:space="0" w:color="auto"/>
                <w:left w:val="none" w:sz="0" w:space="0" w:color="auto"/>
                <w:bottom w:val="none" w:sz="0" w:space="0" w:color="auto"/>
                <w:right w:val="none" w:sz="0" w:space="0" w:color="auto"/>
              </w:divBdr>
            </w:div>
            <w:div w:id="1676149881">
              <w:marLeft w:val="0"/>
              <w:marRight w:val="0"/>
              <w:marTop w:val="0"/>
              <w:marBottom w:val="0"/>
              <w:divBdr>
                <w:top w:val="none" w:sz="0" w:space="0" w:color="auto"/>
                <w:left w:val="none" w:sz="0" w:space="0" w:color="auto"/>
                <w:bottom w:val="none" w:sz="0" w:space="0" w:color="auto"/>
                <w:right w:val="none" w:sz="0" w:space="0" w:color="auto"/>
              </w:divBdr>
            </w:div>
            <w:div w:id="1809544397">
              <w:marLeft w:val="0"/>
              <w:marRight w:val="0"/>
              <w:marTop w:val="0"/>
              <w:marBottom w:val="0"/>
              <w:divBdr>
                <w:top w:val="none" w:sz="0" w:space="0" w:color="auto"/>
                <w:left w:val="none" w:sz="0" w:space="0" w:color="auto"/>
                <w:bottom w:val="none" w:sz="0" w:space="0" w:color="auto"/>
                <w:right w:val="none" w:sz="0" w:space="0" w:color="auto"/>
              </w:divBdr>
            </w:div>
          </w:divsChild>
        </w:div>
        <w:div w:id="859050244">
          <w:marLeft w:val="0"/>
          <w:marRight w:val="0"/>
          <w:marTop w:val="0"/>
          <w:marBottom w:val="0"/>
          <w:divBdr>
            <w:top w:val="none" w:sz="0" w:space="0" w:color="auto"/>
            <w:left w:val="none" w:sz="0" w:space="0" w:color="auto"/>
            <w:bottom w:val="none" w:sz="0" w:space="0" w:color="auto"/>
            <w:right w:val="none" w:sz="0" w:space="0" w:color="auto"/>
          </w:divBdr>
        </w:div>
        <w:div w:id="882054956">
          <w:marLeft w:val="0"/>
          <w:marRight w:val="0"/>
          <w:marTop w:val="0"/>
          <w:marBottom w:val="0"/>
          <w:divBdr>
            <w:top w:val="none" w:sz="0" w:space="0" w:color="auto"/>
            <w:left w:val="none" w:sz="0" w:space="0" w:color="auto"/>
            <w:bottom w:val="none" w:sz="0" w:space="0" w:color="auto"/>
            <w:right w:val="none" w:sz="0" w:space="0" w:color="auto"/>
          </w:divBdr>
        </w:div>
        <w:div w:id="1266572787">
          <w:marLeft w:val="0"/>
          <w:marRight w:val="0"/>
          <w:marTop w:val="0"/>
          <w:marBottom w:val="0"/>
          <w:divBdr>
            <w:top w:val="none" w:sz="0" w:space="0" w:color="auto"/>
            <w:left w:val="none" w:sz="0" w:space="0" w:color="auto"/>
            <w:bottom w:val="none" w:sz="0" w:space="0" w:color="auto"/>
            <w:right w:val="none" w:sz="0" w:space="0" w:color="auto"/>
          </w:divBdr>
        </w:div>
        <w:div w:id="1375698120">
          <w:marLeft w:val="0"/>
          <w:marRight w:val="0"/>
          <w:marTop w:val="0"/>
          <w:marBottom w:val="0"/>
          <w:divBdr>
            <w:top w:val="none" w:sz="0" w:space="0" w:color="auto"/>
            <w:left w:val="none" w:sz="0" w:space="0" w:color="auto"/>
            <w:bottom w:val="none" w:sz="0" w:space="0" w:color="auto"/>
            <w:right w:val="none" w:sz="0" w:space="0" w:color="auto"/>
          </w:divBdr>
        </w:div>
        <w:div w:id="1547260591">
          <w:marLeft w:val="0"/>
          <w:marRight w:val="0"/>
          <w:marTop w:val="0"/>
          <w:marBottom w:val="0"/>
          <w:divBdr>
            <w:top w:val="none" w:sz="0" w:space="0" w:color="auto"/>
            <w:left w:val="none" w:sz="0" w:space="0" w:color="auto"/>
            <w:bottom w:val="none" w:sz="0" w:space="0" w:color="auto"/>
            <w:right w:val="none" w:sz="0" w:space="0" w:color="auto"/>
          </w:divBdr>
        </w:div>
        <w:div w:id="1810129521">
          <w:marLeft w:val="0"/>
          <w:marRight w:val="0"/>
          <w:marTop w:val="0"/>
          <w:marBottom w:val="0"/>
          <w:divBdr>
            <w:top w:val="none" w:sz="0" w:space="0" w:color="auto"/>
            <w:left w:val="none" w:sz="0" w:space="0" w:color="auto"/>
            <w:bottom w:val="none" w:sz="0" w:space="0" w:color="auto"/>
            <w:right w:val="none" w:sz="0" w:space="0" w:color="auto"/>
          </w:divBdr>
        </w:div>
      </w:divsChild>
    </w:div>
    <w:div w:id="1071463151">
      <w:bodyDiv w:val="1"/>
      <w:marLeft w:val="0"/>
      <w:marRight w:val="0"/>
      <w:marTop w:val="0"/>
      <w:marBottom w:val="0"/>
      <w:divBdr>
        <w:top w:val="none" w:sz="0" w:space="0" w:color="auto"/>
        <w:left w:val="none" w:sz="0" w:space="0" w:color="auto"/>
        <w:bottom w:val="none" w:sz="0" w:space="0" w:color="auto"/>
        <w:right w:val="none" w:sz="0" w:space="0" w:color="auto"/>
      </w:divBdr>
    </w:div>
    <w:div w:id="1287927125">
      <w:bodyDiv w:val="1"/>
      <w:marLeft w:val="0"/>
      <w:marRight w:val="0"/>
      <w:marTop w:val="0"/>
      <w:marBottom w:val="0"/>
      <w:divBdr>
        <w:top w:val="none" w:sz="0" w:space="0" w:color="auto"/>
        <w:left w:val="none" w:sz="0" w:space="0" w:color="auto"/>
        <w:bottom w:val="none" w:sz="0" w:space="0" w:color="auto"/>
        <w:right w:val="none" w:sz="0" w:space="0" w:color="auto"/>
      </w:divBdr>
      <w:divsChild>
        <w:div w:id="254166202">
          <w:marLeft w:val="0"/>
          <w:marRight w:val="0"/>
          <w:marTop w:val="0"/>
          <w:marBottom w:val="0"/>
          <w:divBdr>
            <w:top w:val="none" w:sz="0" w:space="0" w:color="auto"/>
            <w:left w:val="none" w:sz="0" w:space="0" w:color="auto"/>
            <w:bottom w:val="none" w:sz="0" w:space="0" w:color="auto"/>
            <w:right w:val="none" w:sz="0" w:space="0" w:color="auto"/>
          </w:divBdr>
        </w:div>
        <w:div w:id="350372769">
          <w:marLeft w:val="0"/>
          <w:marRight w:val="0"/>
          <w:marTop w:val="0"/>
          <w:marBottom w:val="0"/>
          <w:divBdr>
            <w:top w:val="none" w:sz="0" w:space="0" w:color="auto"/>
            <w:left w:val="none" w:sz="0" w:space="0" w:color="auto"/>
            <w:bottom w:val="none" w:sz="0" w:space="0" w:color="auto"/>
            <w:right w:val="none" w:sz="0" w:space="0" w:color="auto"/>
          </w:divBdr>
        </w:div>
        <w:div w:id="438724959">
          <w:marLeft w:val="0"/>
          <w:marRight w:val="0"/>
          <w:marTop w:val="0"/>
          <w:marBottom w:val="0"/>
          <w:divBdr>
            <w:top w:val="none" w:sz="0" w:space="0" w:color="auto"/>
            <w:left w:val="none" w:sz="0" w:space="0" w:color="auto"/>
            <w:bottom w:val="none" w:sz="0" w:space="0" w:color="auto"/>
            <w:right w:val="none" w:sz="0" w:space="0" w:color="auto"/>
          </w:divBdr>
        </w:div>
        <w:div w:id="516820127">
          <w:marLeft w:val="0"/>
          <w:marRight w:val="0"/>
          <w:marTop w:val="0"/>
          <w:marBottom w:val="0"/>
          <w:divBdr>
            <w:top w:val="none" w:sz="0" w:space="0" w:color="auto"/>
            <w:left w:val="none" w:sz="0" w:space="0" w:color="auto"/>
            <w:bottom w:val="none" w:sz="0" w:space="0" w:color="auto"/>
            <w:right w:val="none" w:sz="0" w:space="0" w:color="auto"/>
          </w:divBdr>
        </w:div>
        <w:div w:id="593056309">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64512853">
              <w:marLeft w:val="0"/>
              <w:marRight w:val="0"/>
              <w:marTop w:val="0"/>
              <w:marBottom w:val="0"/>
              <w:divBdr>
                <w:top w:val="none" w:sz="0" w:space="0" w:color="auto"/>
                <w:left w:val="none" w:sz="0" w:space="0" w:color="auto"/>
                <w:bottom w:val="none" w:sz="0" w:space="0" w:color="auto"/>
                <w:right w:val="none" w:sz="0" w:space="0" w:color="auto"/>
              </w:divBdr>
            </w:div>
            <w:div w:id="213080656">
              <w:marLeft w:val="0"/>
              <w:marRight w:val="0"/>
              <w:marTop w:val="0"/>
              <w:marBottom w:val="0"/>
              <w:divBdr>
                <w:top w:val="none" w:sz="0" w:space="0" w:color="auto"/>
                <w:left w:val="none" w:sz="0" w:space="0" w:color="auto"/>
                <w:bottom w:val="none" w:sz="0" w:space="0" w:color="auto"/>
                <w:right w:val="none" w:sz="0" w:space="0" w:color="auto"/>
              </w:divBdr>
            </w:div>
            <w:div w:id="1359893748">
              <w:marLeft w:val="0"/>
              <w:marRight w:val="0"/>
              <w:marTop w:val="0"/>
              <w:marBottom w:val="0"/>
              <w:divBdr>
                <w:top w:val="none" w:sz="0" w:space="0" w:color="auto"/>
                <w:left w:val="none" w:sz="0" w:space="0" w:color="auto"/>
                <w:bottom w:val="none" w:sz="0" w:space="0" w:color="auto"/>
                <w:right w:val="none" w:sz="0" w:space="0" w:color="auto"/>
              </w:divBdr>
            </w:div>
            <w:div w:id="1453668303">
              <w:marLeft w:val="0"/>
              <w:marRight w:val="0"/>
              <w:marTop w:val="0"/>
              <w:marBottom w:val="0"/>
              <w:divBdr>
                <w:top w:val="none" w:sz="0" w:space="0" w:color="auto"/>
                <w:left w:val="none" w:sz="0" w:space="0" w:color="auto"/>
                <w:bottom w:val="none" w:sz="0" w:space="0" w:color="auto"/>
                <w:right w:val="none" w:sz="0" w:space="0" w:color="auto"/>
              </w:divBdr>
            </w:div>
            <w:div w:id="1590848501">
              <w:marLeft w:val="0"/>
              <w:marRight w:val="0"/>
              <w:marTop w:val="0"/>
              <w:marBottom w:val="0"/>
              <w:divBdr>
                <w:top w:val="none" w:sz="0" w:space="0" w:color="auto"/>
                <w:left w:val="none" w:sz="0" w:space="0" w:color="auto"/>
                <w:bottom w:val="none" w:sz="0" w:space="0" w:color="auto"/>
                <w:right w:val="none" w:sz="0" w:space="0" w:color="auto"/>
              </w:divBdr>
            </w:div>
            <w:div w:id="2050256026">
              <w:marLeft w:val="0"/>
              <w:marRight w:val="0"/>
              <w:marTop w:val="0"/>
              <w:marBottom w:val="0"/>
              <w:divBdr>
                <w:top w:val="none" w:sz="0" w:space="0" w:color="auto"/>
                <w:left w:val="none" w:sz="0" w:space="0" w:color="auto"/>
                <w:bottom w:val="none" w:sz="0" w:space="0" w:color="auto"/>
                <w:right w:val="none" w:sz="0" w:space="0" w:color="auto"/>
              </w:divBdr>
            </w:div>
            <w:div w:id="2075199669">
              <w:marLeft w:val="0"/>
              <w:marRight w:val="0"/>
              <w:marTop w:val="0"/>
              <w:marBottom w:val="0"/>
              <w:divBdr>
                <w:top w:val="none" w:sz="0" w:space="0" w:color="auto"/>
                <w:left w:val="none" w:sz="0" w:space="0" w:color="auto"/>
                <w:bottom w:val="none" w:sz="0" w:space="0" w:color="auto"/>
                <w:right w:val="none" w:sz="0" w:space="0" w:color="auto"/>
              </w:divBdr>
            </w:div>
          </w:divsChild>
        </w:div>
        <w:div w:id="644314615">
          <w:marLeft w:val="0"/>
          <w:marRight w:val="0"/>
          <w:marTop w:val="0"/>
          <w:marBottom w:val="0"/>
          <w:divBdr>
            <w:top w:val="none" w:sz="0" w:space="0" w:color="auto"/>
            <w:left w:val="none" w:sz="0" w:space="0" w:color="auto"/>
            <w:bottom w:val="none" w:sz="0" w:space="0" w:color="auto"/>
            <w:right w:val="none" w:sz="0" w:space="0" w:color="auto"/>
          </w:divBdr>
        </w:div>
        <w:div w:id="682318035">
          <w:marLeft w:val="0"/>
          <w:marRight w:val="0"/>
          <w:marTop w:val="0"/>
          <w:marBottom w:val="0"/>
          <w:divBdr>
            <w:top w:val="none" w:sz="0" w:space="0" w:color="auto"/>
            <w:left w:val="none" w:sz="0" w:space="0" w:color="auto"/>
            <w:bottom w:val="none" w:sz="0" w:space="0" w:color="auto"/>
            <w:right w:val="none" w:sz="0" w:space="0" w:color="auto"/>
          </w:divBdr>
        </w:div>
        <w:div w:id="756172619">
          <w:marLeft w:val="0"/>
          <w:marRight w:val="0"/>
          <w:marTop w:val="0"/>
          <w:marBottom w:val="0"/>
          <w:divBdr>
            <w:top w:val="none" w:sz="0" w:space="0" w:color="auto"/>
            <w:left w:val="none" w:sz="0" w:space="0" w:color="auto"/>
            <w:bottom w:val="none" w:sz="0" w:space="0" w:color="auto"/>
            <w:right w:val="none" w:sz="0" w:space="0" w:color="auto"/>
          </w:divBdr>
        </w:div>
        <w:div w:id="910651163">
          <w:marLeft w:val="0"/>
          <w:marRight w:val="0"/>
          <w:marTop w:val="0"/>
          <w:marBottom w:val="0"/>
          <w:divBdr>
            <w:top w:val="none" w:sz="0" w:space="0" w:color="auto"/>
            <w:left w:val="none" w:sz="0" w:space="0" w:color="auto"/>
            <w:bottom w:val="none" w:sz="0" w:space="0" w:color="auto"/>
            <w:right w:val="none" w:sz="0" w:space="0" w:color="auto"/>
          </w:divBdr>
        </w:div>
        <w:div w:id="1195464250">
          <w:marLeft w:val="0"/>
          <w:marRight w:val="0"/>
          <w:marTop w:val="0"/>
          <w:marBottom w:val="0"/>
          <w:divBdr>
            <w:top w:val="none" w:sz="0" w:space="0" w:color="auto"/>
            <w:left w:val="none" w:sz="0" w:space="0" w:color="auto"/>
            <w:bottom w:val="none" w:sz="0" w:space="0" w:color="auto"/>
            <w:right w:val="none" w:sz="0" w:space="0" w:color="auto"/>
          </w:divBdr>
        </w:div>
        <w:div w:id="1271815964">
          <w:marLeft w:val="0"/>
          <w:marRight w:val="0"/>
          <w:marTop w:val="0"/>
          <w:marBottom w:val="0"/>
          <w:divBdr>
            <w:top w:val="none" w:sz="0" w:space="0" w:color="auto"/>
            <w:left w:val="none" w:sz="0" w:space="0" w:color="auto"/>
            <w:bottom w:val="none" w:sz="0" w:space="0" w:color="auto"/>
            <w:right w:val="none" w:sz="0" w:space="0" w:color="auto"/>
          </w:divBdr>
        </w:div>
        <w:div w:id="1492872026">
          <w:marLeft w:val="0"/>
          <w:marRight w:val="0"/>
          <w:marTop w:val="0"/>
          <w:marBottom w:val="0"/>
          <w:divBdr>
            <w:top w:val="none" w:sz="0" w:space="0" w:color="auto"/>
            <w:left w:val="none" w:sz="0" w:space="0" w:color="auto"/>
            <w:bottom w:val="none" w:sz="0" w:space="0" w:color="auto"/>
            <w:right w:val="none" w:sz="0" w:space="0" w:color="auto"/>
          </w:divBdr>
        </w:div>
        <w:div w:id="21324294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665</Words>
  <Characters>3795</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Sanzioni</vt:lpstr>
    </vt:vector>
  </TitlesOfParts>
  <Company>OIPA Italia</Company>
  <LinksUpToDate>false</LinksUpToDate>
  <CharactersWithSpaces>4452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Sanzioni</dc:title>
  <dc:creator>Max Pradella</dc:creator>
  <cp:lastModifiedBy>Max Pradella</cp:lastModifiedBy>
  <cp:revision>3</cp:revision>
  <dcterms:created xsi:type="dcterms:W3CDTF">2008-04-10T15:15:00Z</dcterms:created>
  <dcterms:modified xsi:type="dcterms:W3CDTF">2008-11-06T09:04:00Z</dcterms:modified>
</cp:coreProperties>
</file>